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40EED628" w:rsidR="00B8350A" w:rsidRDefault="00FC1B59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259A8C8E" wp14:editId="350EFD20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2C8226EC" w14:textId="25DC7409" w:rsidR="00B8350A" w:rsidRPr="003346E0" w:rsidRDefault="00246E21" w:rsidP="00246E21">
            <w:pPr>
              <w:jc w:val="center"/>
              <w:rPr>
                <w:rFonts w:cs="Arial"/>
                <w:b/>
                <w:sz w:val="24"/>
                <w:szCs w:val="18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RETIRADA DE VÁLVULA APÓS COLOCAÇÃO DE EXPANSOR PERMANENTE</w:t>
            </w: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5D66E18F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246E21">
        <w:rPr>
          <w:sz w:val="24"/>
          <w:szCs w:val="24"/>
        </w:rPr>
        <w:t xml:space="preserve"> designado </w:t>
      </w:r>
      <w:r w:rsidR="00246E21">
        <w:rPr>
          <w:b/>
          <w:sz w:val="24"/>
          <w:szCs w:val="24"/>
        </w:rPr>
        <w:t>“RETIRADA DE VÁLVULA APÓS COLOCAÇÃO DE EXPANSOR PERMANENTE”</w:t>
      </w:r>
      <w:r w:rsidR="00246E21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275AE5ED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246E21">
        <w:rPr>
          <w:rFonts w:cstheme="minorHAnsi"/>
          <w:color w:val="000000"/>
          <w:sz w:val="24"/>
          <w:szCs w:val="24"/>
          <w:lang w:eastAsia="pt-BR"/>
        </w:rPr>
        <w:t>C</w:t>
      </w:r>
      <w:r w:rsidR="00246E21" w:rsidRPr="00246E21">
        <w:rPr>
          <w:rFonts w:cstheme="minorHAnsi"/>
          <w:color w:val="000000"/>
          <w:sz w:val="24"/>
          <w:szCs w:val="24"/>
          <w:lang w:eastAsia="pt-BR"/>
        </w:rPr>
        <w:t>onsiste na retirada da válvula do expansor provisório juntamente com o mesmo.</w:t>
      </w:r>
    </w:p>
    <w:p w14:paraId="5386B516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56B0759D" w14:textId="77777777" w:rsidR="00183464" w:rsidRDefault="00183464" w:rsidP="00183464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43D3E6B3" w14:textId="77777777" w:rsidR="00246E21" w:rsidRDefault="00246E21" w:rsidP="00246E21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Sangramentos;</w:t>
      </w:r>
    </w:p>
    <w:p w14:paraId="17ADBE39" w14:textId="77777777" w:rsidR="00246E21" w:rsidRDefault="00246E21" w:rsidP="00246E21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246E21">
        <w:rPr>
          <w:rFonts w:cstheme="minorHAnsi"/>
          <w:color w:val="000000"/>
          <w:sz w:val="24"/>
          <w:szCs w:val="24"/>
          <w:lang w:eastAsia="pt-BR"/>
        </w:rPr>
        <w:t>Formação de hematomas (acúmulo de sangu</w:t>
      </w:r>
      <w:r>
        <w:rPr>
          <w:rFonts w:cstheme="minorHAnsi"/>
          <w:color w:val="000000"/>
          <w:sz w:val="24"/>
          <w:szCs w:val="24"/>
          <w:lang w:eastAsia="pt-BR"/>
        </w:rPr>
        <w:t>e) e equimoses (manchas roxas);</w:t>
      </w:r>
    </w:p>
    <w:p w14:paraId="12573065" w14:textId="77777777" w:rsidR="00246E21" w:rsidRDefault="00246E21" w:rsidP="00246E21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246E21">
        <w:rPr>
          <w:rFonts w:cstheme="minorHAnsi"/>
          <w:color w:val="000000"/>
          <w:sz w:val="24"/>
          <w:szCs w:val="24"/>
          <w:lang w:eastAsia="pt-BR"/>
        </w:rPr>
        <w:t>Deiscência d</w:t>
      </w:r>
      <w:r>
        <w:rPr>
          <w:rFonts w:cstheme="minorHAnsi"/>
          <w:color w:val="000000"/>
          <w:sz w:val="24"/>
          <w:szCs w:val="24"/>
          <w:lang w:eastAsia="pt-BR"/>
        </w:rPr>
        <w:t>a sutura (soltam-se os pontos);</w:t>
      </w:r>
    </w:p>
    <w:p w14:paraId="17B2390C" w14:textId="77777777" w:rsidR="00246E21" w:rsidRDefault="00246E21" w:rsidP="00246E21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246E21">
        <w:rPr>
          <w:rFonts w:cstheme="minorHAnsi"/>
          <w:color w:val="000000"/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246E21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246E21">
        <w:rPr>
          <w:rFonts w:cstheme="minorHAnsi"/>
          <w:color w:val="000000"/>
          <w:sz w:val="24"/>
          <w:szCs w:val="24"/>
          <w:lang w:eastAsia="pt-BR"/>
        </w:rPr>
        <w:t xml:space="preserve"> (ci</w:t>
      </w:r>
      <w:r>
        <w:rPr>
          <w:rFonts w:cstheme="minorHAnsi"/>
          <w:color w:val="000000"/>
          <w:sz w:val="24"/>
          <w:szCs w:val="24"/>
          <w:lang w:eastAsia="pt-BR"/>
        </w:rPr>
        <w:t>catriz hipertrófica-grosseira);</w:t>
      </w:r>
    </w:p>
    <w:p w14:paraId="578727C7" w14:textId="77777777" w:rsidR="00246E21" w:rsidRDefault="00246E21" w:rsidP="00246E21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246E21">
        <w:rPr>
          <w:rFonts w:cstheme="minorHAnsi"/>
          <w:color w:val="000000"/>
          <w:sz w:val="24"/>
          <w:szCs w:val="24"/>
          <w:lang w:eastAsia="pt-BR"/>
        </w:rPr>
        <w:t>In</w:t>
      </w:r>
      <w:r>
        <w:rPr>
          <w:rFonts w:cstheme="minorHAnsi"/>
          <w:color w:val="000000"/>
          <w:sz w:val="24"/>
          <w:szCs w:val="24"/>
          <w:lang w:eastAsia="pt-BR"/>
        </w:rPr>
        <w:t>fecção;</w:t>
      </w:r>
    </w:p>
    <w:p w14:paraId="1FD67E35" w14:textId="77777777" w:rsidR="00246E21" w:rsidRDefault="00246E21" w:rsidP="00246E21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proofErr w:type="spellStart"/>
      <w:r w:rsidRPr="00246E21">
        <w:rPr>
          <w:rFonts w:cstheme="minorHAnsi"/>
          <w:color w:val="000000"/>
          <w:sz w:val="24"/>
          <w:szCs w:val="24"/>
          <w:lang w:eastAsia="pt-BR"/>
        </w:rPr>
        <w:t>Seromas</w:t>
      </w:r>
      <w:proofErr w:type="spellEnd"/>
      <w:r w:rsidRPr="00246E21">
        <w:rPr>
          <w:rFonts w:cstheme="minorHAnsi"/>
          <w:color w:val="000000"/>
          <w:sz w:val="24"/>
          <w:szCs w:val="24"/>
          <w:lang w:eastAsia="pt-BR"/>
        </w:rPr>
        <w:t xml:space="preserve"> (Acúmulo de secreção pr</w:t>
      </w:r>
      <w:r>
        <w:rPr>
          <w:rFonts w:cstheme="minorHAnsi"/>
          <w:color w:val="000000"/>
          <w:sz w:val="24"/>
          <w:szCs w:val="24"/>
          <w:lang w:eastAsia="pt-BR"/>
        </w:rPr>
        <w:t>oduzida pelo tecido gorduroso);</w:t>
      </w:r>
    </w:p>
    <w:p w14:paraId="11EBDD78" w14:textId="77777777" w:rsidR="00246E21" w:rsidRDefault="00246E21" w:rsidP="00246E21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Saída do dreno;</w:t>
      </w:r>
    </w:p>
    <w:p w14:paraId="50CFE012" w14:textId="209BEEA1" w:rsidR="00246E21" w:rsidRPr="00246E21" w:rsidRDefault="00246E21" w:rsidP="00246E21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246E21">
        <w:rPr>
          <w:rFonts w:cstheme="minorHAnsi"/>
          <w:color w:val="000000"/>
          <w:sz w:val="24"/>
          <w:szCs w:val="24"/>
          <w:lang w:eastAsia="pt-BR"/>
        </w:rPr>
        <w:t>Formação de áreas de necrose gordurosa.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64105F74" w:rsidR="00B8350A" w:rsidRPr="00246E21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246E21">
        <w:rPr>
          <w:sz w:val="24"/>
          <w:szCs w:val="24"/>
        </w:rPr>
        <w:t>3.06.02.31-9</w:t>
      </w:r>
      <w:r w:rsidRPr="00AE2BF5">
        <w:t xml:space="preserve"> 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246E21">
        <w:rPr>
          <w:sz w:val="24"/>
          <w:szCs w:val="24"/>
        </w:rPr>
        <w:t>C50.9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BDFBA7" w14:textId="77777777" w:rsidR="00D42180" w:rsidRDefault="00D42180" w:rsidP="00FC1B59">
      <w:pPr>
        <w:spacing w:after="0" w:line="240" w:lineRule="auto"/>
      </w:pPr>
      <w:r>
        <w:separator/>
      </w:r>
    </w:p>
  </w:endnote>
  <w:endnote w:type="continuationSeparator" w:id="0">
    <w:p w14:paraId="05CAC2E5" w14:textId="77777777" w:rsidR="00D42180" w:rsidRDefault="00D42180" w:rsidP="00FC1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308B7" w14:textId="36837F88" w:rsidR="00FC1B59" w:rsidRDefault="00FC1B59" w:rsidP="00FC1B59">
    <w:pPr>
      <w:pStyle w:val="Rodap"/>
      <w:jc w:val="right"/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6A665" w14:textId="77777777" w:rsidR="00D42180" w:rsidRDefault="00D42180" w:rsidP="00FC1B59">
      <w:pPr>
        <w:spacing w:after="0" w:line="240" w:lineRule="auto"/>
      </w:pPr>
      <w:r>
        <w:separator/>
      </w:r>
    </w:p>
  </w:footnote>
  <w:footnote w:type="continuationSeparator" w:id="0">
    <w:p w14:paraId="2E813967" w14:textId="77777777" w:rsidR="00D42180" w:rsidRDefault="00D42180" w:rsidP="00FC1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183464"/>
    <w:rsid w:val="00246E21"/>
    <w:rsid w:val="00B8350A"/>
    <w:rsid w:val="00D42180"/>
    <w:rsid w:val="00E957F3"/>
    <w:rsid w:val="00FC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7791827B-BF82-4C66-B186-83FE5C89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6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6E2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FC1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6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2023-09-25T18:00:00Z</dcterms:created>
  <dcterms:modified xsi:type="dcterms:W3CDTF">2023-10-02T14:16:00Z</dcterms:modified>
</cp:coreProperties>
</file>