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9A623DF" w:rsidR="00B8350A" w:rsidRDefault="00660F2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5BAF4BD" wp14:editId="704BAF27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9FBE3DC" w:rsidR="00B8350A" w:rsidRPr="003D0FBC" w:rsidRDefault="002B05D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LAPAROTOMIA EXPLORADORA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74099C42" w14:textId="77777777" w:rsidR="002B05DF" w:rsidRDefault="00B8350A" w:rsidP="002B05DF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B05DF">
        <w:rPr>
          <w:sz w:val="24"/>
          <w:szCs w:val="24"/>
        </w:rPr>
        <w:t xml:space="preserve"> designado </w:t>
      </w:r>
      <w:r w:rsidR="002B05DF">
        <w:rPr>
          <w:b/>
          <w:sz w:val="24"/>
          <w:szCs w:val="24"/>
        </w:rPr>
        <w:t>“LAPAROTOMIA EXPLORADORA”</w:t>
      </w:r>
      <w:r w:rsidR="002B05D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C39B164" w14:textId="77777777" w:rsidR="002B05DF" w:rsidRDefault="002B05DF" w:rsidP="002B05DF">
      <w:pPr>
        <w:spacing w:after="0"/>
        <w:ind w:left="-851" w:right="-285"/>
        <w:jc w:val="both"/>
        <w:rPr>
          <w:sz w:val="24"/>
          <w:szCs w:val="24"/>
        </w:rPr>
      </w:pPr>
    </w:p>
    <w:p w14:paraId="597E4379" w14:textId="2FBC774E" w:rsidR="002B05DF" w:rsidRPr="002B05DF" w:rsidRDefault="00B8350A" w:rsidP="002B05DF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2B05DF" w:rsidRPr="002B05DF">
        <w:rPr>
          <w:rFonts w:cstheme="minorHAnsi"/>
          <w:color w:val="000000"/>
          <w:sz w:val="24"/>
          <w:szCs w:val="24"/>
          <w:lang w:eastAsia="pt-BR"/>
        </w:rPr>
        <w:t>Cirurgia que visa à exploração da cavidade abdominal, podendo ser realizada por via laparoscópica ou aberta (com corte). Tem por objetivo esclarecer diagnósticos que não são detectados por outros meios (</w:t>
      </w:r>
      <w:proofErr w:type="spellStart"/>
      <w:r w:rsidR="002B05DF" w:rsidRPr="002B05DF">
        <w:rPr>
          <w:rFonts w:cstheme="minorHAnsi"/>
          <w:color w:val="000000"/>
          <w:sz w:val="24"/>
          <w:szCs w:val="24"/>
          <w:lang w:eastAsia="pt-BR"/>
        </w:rPr>
        <w:t>rx</w:t>
      </w:r>
      <w:proofErr w:type="spellEnd"/>
      <w:r w:rsidR="002B05DF" w:rsidRPr="002B05DF">
        <w:rPr>
          <w:rFonts w:cstheme="minorHAnsi"/>
          <w:color w:val="000000"/>
          <w:sz w:val="24"/>
          <w:szCs w:val="24"/>
          <w:lang w:eastAsia="pt-BR"/>
        </w:rPr>
        <w:t xml:space="preserve">, ultrassom, ressonância magnética, tomografia, etc.) 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7ECA0463" w14:textId="77777777" w:rsidR="00EB2B70" w:rsidRDefault="00EB2B70" w:rsidP="00EB2B70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F7C505B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Hematomas (acúmulo de sangue);</w:t>
      </w:r>
    </w:p>
    <w:p w14:paraId="3F636504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B05DF">
        <w:rPr>
          <w:rFonts w:cstheme="minorHAnsi"/>
          <w:color w:val="000000"/>
          <w:sz w:val="24"/>
          <w:szCs w:val="24"/>
          <w:lang w:eastAsia="pt-BR"/>
        </w:rPr>
        <w:t>Lesões de órgãos (vasos, fígado, baço, estomago, intestinos, bexiga,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rins, pâncreas, vias biliares);</w:t>
      </w:r>
    </w:p>
    <w:p w14:paraId="5855972D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Infecções de ferida operatória;</w:t>
      </w:r>
    </w:p>
    <w:p w14:paraId="3C4E0973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B05DF">
        <w:rPr>
          <w:rFonts w:cstheme="minorHAnsi"/>
          <w:color w:val="000000"/>
          <w:sz w:val="24"/>
          <w:szCs w:val="24"/>
          <w:lang w:eastAsia="pt-BR"/>
        </w:rPr>
        <w:t>Peritonite (i</w:t>
      </w:r>
      <w:r>
        <w:rPr>
          <w:rFonts w:cstheme="minorHAnsi"/>
          <w:color w:val="000000"/>
          <w:sz w:val="24"/>
          <w:szCs w:val="24"/>
          <w:lang w:eastAsia="pt-BR"/>
        </w:rPr>
        <w:t>nfecção da cavidade abdominal);</w:t>
      </w:r>
    </w:p>
    <w:p w14:paraId="0050E247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B05DF">
        <w:rPr>
          <w:rFonts w:cstheme="minorHAnsi"/>
          <w:color w:val="000000"/>
          <w:sz w:val="24"/>
          <w:szCs w:val="24"/>
          <w:lang w:eastAsia="pt-BR"/>
        </w:rPr>
        <w:t xml:space="preserve">Septicemia (infecção </w:t>
      </w:r>
      <w:r>
        <w:rPr>
          <w:rFonts w:cstheme="minorHAnsi"/>
          <w:color w:val="000000"/>
          <w:sz w:val="24"/>
          <w:szCs w:val="24"/>
          <w:lang w:eastAsia="pt-BR"/>
        </w:rPr>
        <w:t>se espalha por todo organismo);</w:t>
      </w:r>
    </w:p>
    <w:p w14:paraId="5B805222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B05DF">
        <w:rPr>
          <w:rFonts w:cstheme="minorHAnsi"/>
          <w:color w:val="000000"/>
          <w:sz w:val="24"/>
          <w:szCs w:val="24"/>
          <w:lang w:eastAsia="pt-BR"/>
        </w:rPr>
        <w:t>Trombo</w:t>
      </w:r>
      <w:r>
        <w:rPr>
          <w:rFonts w:cstheme="minorHAnsi"/>
          <w:color w:val="000000"/>
          <w:sz w:val="24"/>
          <w:szCs w:val="24"/>
          <w:lang w:eastAsia="pt-BR"/>
        </w:rPr>
        <w:t>se venosa;</w:t>
      </w:r>
    </w:p>
    <w:p w14:paraId="0380D9ED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74C49EFC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Dor, náuseas, vômitos;</w:t>
      </w:r>
    </w:p>
    <w:p w14:paraId="2C44F9B6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Retenção urinária;</w:t>
      </w:r>
    </w:p>
    <w:p w14:paraId="2B5F4C31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B05DF">
        <w:rPr>
          <w:rFonts w:cstheme="minorHAnsi"/>
          <w:color w:val="000000"/>
          <w:sz w:val="24"/>
          <w:szCs w:val="24"/>
          <w:lang w:eastAsia="pt-BR"/>
        </w:rPr>
        <w:t>Dor em omb</w:t>
      </w:r>
      <w:r>
        <w:rPr>
          <w:rFonts w:cstheme="minorHAnsi"/>
          <w:color w:val="000000"/>
          <w:sz w:val="24"/>
          <w:szCs w:val="24"/>
          <w:lang w:eastAsia="pt-BR"/>
        </w:rPr>
        <w:t>ros (cirurgias laparoscópicas);</w:t>
      </w:r>
    </w:p>
    <w:p w14:paraId="3B35B671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B05DF">
        <w:rPr>
          <w:rFonts w:cstheme="minorHAnsi"/>
          <w:color w:val="000000"/>
          <w:sz w:val="24"/>
          <w:szCs w:val="24"/>
          <w:lang w:eastAsia="pt-BR"/>
        </w:rPr>
        <w:t xml:space="preserve">Hérnias </w:t>
      </w:r>
      <w:proofErr w:type="spellStart"/>
      <w:r w:rsidRPr="002B05DF">
        <w:rPr>
          <w:rFonts w:cstheme="minorHAnsi"/>
          <w:color w:val="000000"/>
          <w:sz w:val="24"/>
          <w:szCs w:val="24"/>
          <w:lang w:eastAsia="pt-BR"/>
        </w:rPr>
        <w:t>inc</w:t>
      </w:r>
      <w:r>
        <w:rPr>
          <w:rFonts w:cstheme="minorHAnsi"/>
          <w:color w:val="000000"/>
          <w:sz w:val="24"/>
          <w:szCs w:val="24"/>
          <w:lang w:eastAsia="pt-BR"/>
        </w:rPr>
        <w:t>isionais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(no local dos cortes);</w:t>
      </w:r>
    </w:p>
    <w:p w14:paraId="73E288F9" w14:textId="77777777" w:rsidR="002B05DF" w:rsidRDefault="002B05DF" w:rsidP="002B05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B05DF">
        <w:rPr>
          <w:rFonts w:cstheme="minorHAnsi"/>
          <w:color w:val="000000"/>
          <w:sz w:val="24"/>
          <w:szCs w:val="24"/>
          <w:lang w:eastAsia="pt-BR"/>
        </w:rPr>
        <w:t>Enfisema (acúmulo de gases sob a pele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nas cirurgias laparoscópicas);</w:t>
      </w:r>
    </w:p>
    <w:p w14:paraId="572DB5CF" w14:textId="54ADB73C" w:rsidR="002B05DF" w:rsidRPr="002B05DF" w:rsidRDefault="002B05DF" w:rsidP="002B05DF">
      <w:pPr>
        <w:spacing w:after="0"/>
        <w:ind w:left="-851" w:right="-285"/>
        <w:jc w:val="both"/>
      </w:pPr>
      <w:r w:rsidRPr="002B05DF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B05DF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2B05DF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9094028" w:rsidR="00B8350A" w:rsidRPr="002B05DF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2B05DF">
        <w:rPr>
          <w:sz w:val="24"/>
          <w:szCs w:val="24"/>
        </w:rPr>
        <w:t>3.10.09.17-4</w:t>
      </w:r>
      <w:r w:rsidRPr="00AE2BF5">
        <w:t xml:space="preserve">                                 </w:t>
      </w:r>
      <w:r w:rsidR="002B05DF">
        <w:t xml:space="preserve">         </w:t>
      </w:r>
      <w:r w:rsidRPr="00AE2BF5">
        <w:t xml:space="preserve">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2B05DF">
        <w:rPr>
          <w:sz w:val="24"/>
          <w:szCs w:val="24"/>
        </w:rPr>
        <w:t>R10.4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2F9394C9" w14:textId="77777777" w:rsidR="00A26057" w:rsidRDefault="00A26057" w:rsidP="00B8350A">
      <w:pPr>
        <w:spacing w:after="0"/>
        <w:ind w:left="-851" w:right="-285"/>
        <w:jc w:val="both"/>
      </w:pPr>
    </w:p>
    <w:p w14:paraId="4BBFB969" w14:textId="77777777" w:rsidR="00A26057" w:rsidRDefault="00A26057" w:rsidP="00B8350A">
      <w:pPr>
        <w:spacing w:after="0"/>
        <w:ind w:left="-851" w:right="-285"/>
        <w:jc w:val="both"/>
      </w:pPr>
    </w:p>
    <w:p w14:paraId="1538DB8C" w14:textId="77777777" w:rsidR="00A26057" w:rsidRDefault="00A26057" w:rsidP="00B8350A">
      <w:pPr>
        <w:spacing w:after="0"/>
        <w:ind w:left="-851" w:right="-285"/>
        <w:jc w:val="both"/>
      </w:pPr>
    </w:p>
    <w:p w14:paraId="3862E9B1" w14:textId="77777777" w:rsidR="0043176A" w:rsidRDefault="0043176A" w:rsidP="00B8350A">
      <w:pPr>
        <w:spacing w:after="0"/>
        <w:ind w:left="-851" w:right="-285"/>
        <w:jc w:val="both"/>
      </w:pPr>
    </w:p>
    <w:p w14:paraId="1814A0E9" w14:textId="77777777" w:rsidR="0043176A" w:rsidRDefault="0043176A" w:rsidP="00B8350A">
      <w:pPr>
        <w:spacing w:after="0"/>
        <w:ind w:left="-851" w:right="-285"/>
        <w:jc w:val="both"/>
      </w:pPr>
      <w:bookmarkStart w:id="2" w:name="_GoBack"/>
      <w:bookmarkEnd w:id="2"/>
    </w:p>
    <w:p w14:paraId="414B3AA3" w14:textId="77777777" w:rsidR="00A26057" w:rsidRDefault="00A26057" w:rsidP="00B8350A">
      <w:pPr>
        <w:spacing w:after="0"/>
        <w:ind w:left="-851" w:right="-285"/>
        <w:jc w:val="both"/>
      </w:pPr>
    </w:p>
    <w:p w14:paraId="7E156291" w14:textId="77777777" w:rsidR="00A26057" w:rsidRDefault="00A26057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F646B" w14:textId="77777777" w:rsidR="00CA0E15" w:rsidRDefault="00CA0E15" w:rsidP="00660F21">
      <w:pPr>
        <w:spacing w:after="0" w:line="240" w:lineRule="auto"/>
      </w:pPr>
      <w:r>
        <w:separator/>
      </w:r>
    </w:p>
  </w:endnote>
  <w:endnote w:type="continuationSeparator" w:id="0">
    <w:p w14:paraId="0ABB0DE7" w14:textId="77777777" w:rsidR="00CA0E15" w:rsidRDefault="00CA0E15" w:rsidP="0066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EEA33" w14:textId="4668AA87" w:rsidR="00660F21" w:rsidRDefault="00660F21">
    <w:pPr>
      <w:pStyle w:val="Rodap"/>
    </w:pPr>
  </w:p>
  <w:p w14:paraId="6C830D5B" w14:textId="77777777" w:rsidR="00660F21" w:rsidRDefault="00660F21" w:rsidP="00660F2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635828C" w14:textId="77777777" w:rsidR="00660F21" w:rsidRDefault="00660F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2F83A" w14:textId="77777777" w:rsidR="00CA0E15" w:rsidRDefault="00CA0E15" w:rsidP="00660F21">
      <w:pPr>
        <w:spacing w:after="0" w:line="240" w:lineRule="auto"/>
      </w:pPr>
      <w:r>
        <w:separator/>
      </w:r>
    </w:p>
  </w:footnote>
  <w:footnote w:type="continuationSeparator" w:id="0">
    <w:p w14:paraId="3D916076" w14:textId="77777777" w:rsidR="00CA0E15" w:rsidRDefault="00CA0E15" w:rsidP="00660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B05DF"/>
    <w:rsid w:val="003322B0"/>
    <w:rsid w:val="0043176A"/>
    <w:rsid w:val="00660F21"/>
    <w:rsid w:val="00A26057"/>
    <w:rsid w:val="00B8350A"/>
    <w:rsid w:val="00CA0E15"/>
    <w:rsid w:val="00E957F3"/>
    <w:rsid w:val="00E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416CBFC-93E6-4901-A5E8-6B334988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5D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60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2023-09-25T16:52:00Z</dcterms:created>
  <dcterms:modified xsi:type="dcterms:W3CDTF">2023-10-02T12:01:00Z</dcterms:modified>
</cp:coreProperties>
</file>