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0EE5A95" w:rsidR="00B8350A" w:rsidRDefault="00F16D1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3160702" wp14:editId="7F179B6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358C8A9" w:rsidR="00B8350A" w:rsidRPr="003D0FBC" w:rsidRDefault="00EF403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GINECOMASTIA UNILATERAL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A869889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EF4036">
        <w:rPr>
          <w:sz w:val="24"/>
          <w:szCs w:val="24"/>
        </w:rPr>
        <w:t xml:space="preserve"> designado </w:t>
      </w:r>
      <w:r w:rsidR="00EF4036">
        <w:rPr>
          <w:b/>
          <w:sz w:val="24"/>
          <w:szCs w:val="24"/>
        </w:rPr>
        <w:t>“GINECOMASTIA UNILATERAL”</w:t>
      </w:r>
      <w:r w:rsidR="00EF403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FFACEE4" w:rsidR="00B8350A" w:rsidRPr="00EF403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EF4036">
        <w:rPr>
          <w:sz w:val="24"/>
          <w:szCs w:val="24"/>
        </w:rPr>
        <w:t>Plástica mamária masculina.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550D2C6" w14:textId="77777777" w:rsidR="00C92F87" w:rsidRDefault="00C92F87" w:rsidP="00C92F87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DDE4F14" w14:textId="77777777" w:rsidR="00EF4036" w:rsidRDefault="00EF4036" w:rsidP="00EF403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EF4036">
        <w:rPr>
          <w:sz w:val="24"/>
          <w:szCs w:val="24"/>
          <w:lang w:eastAsia="pt-BR"/>
        </w:rPr>
        <w:t>Sangra</w:t>
      </w:r>
      <w:r>
        <w:rPr>
          <w:sz w:val="24"/>
          <w:szCs w:val="24"/>
          <w:lang w:eastAsia="pt-BR"/>
        </w:rPr>
        <w:t>mentos;</w:t>
      </w:r>
    </w:p>
    <w:p w14:paraId="3D79C163" w14:textId="77777777" w:rsidR="00EF4036" w:rsidRDefault="00EF4036" w:rsidP="00EF403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EF4036">
        <w:rPr>
          <w:sz w:val="24"/>
          <w:szCs w:val="24"/>
          <w:lang w:eastAsia="pt-BR"/>
        </w:rPr>
        <w:t>Formação de hematomas (acúmulo de sangue) e equimos</w:t>
      </w:r>
      <w:r>
        <w:rPr>
          <w:sz w:val="24"/>
          <w:szCs w:val="24"/>
          <w:lang w:eastAsia="pt-BR"/>
        </w:rPr>
        <w:t>es (manchas roxas);</w:t>
      </w:r>
    </w:p>
    <w:p w14:paraId="6D81547C" w14:textId="77777777" w:rsidR="00EF4036" w:rsidRDefault="00EF4036" w:rsidP="00EF403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EF4036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721714D7" w14:textId="77777777" w:rsidR="00EF4036" w:rsidRDefault="00EF4036" w:rsidP="00EF403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EF4036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EF4036">
        <w:rPr>
          <w:sz w:val="24"/>
          <w:szCs w:val="24"/>
          <w:lang w:eastAsia="pt-BR"/>
        </w:rPr>
        <w:t>anátomo-patológico</w:t>
      </w:r>
      <w:proofErr w:type="spellEnd"/>
      <w:r w:rsidRPr="00EF4036">
        <w:rPr>
          <w:sz w:val="24"/>
          <w:szCs w:val="24"/>
          <w:lang w:eastAsia="pt-BR"/>
        </w:rPr>
        <w:t xml:space="preserve"> most</w:t>
      </w:r>
      <w:r>
        <w:rPr>
          <w:sz w:val="24"/>
          <w:szCs w:val="24"/>
          <w:lang w:eastAsia="pt-BR"/>
        </w:rPr>
        <w:t>rar invasão na borda cirúrgica;</w:t>
      </w:r>
    </w:p>
    <w:p w14:paraId="2B83CC87" w14:textId="77777777" w:rsidR="00EF4036" w:rsidRDefault="00EF4036" w:rsidP="00EF403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EF4036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EF4036">
        <w:rPr>
          <w:sz w:val="24"/>
          <w:szCs w:val="24"/>
          <w:lang w:eastAsia="pt-BR"/>
        </w:rPr>
        <w:t>quelóides</w:t>
      </w:r>
      <w:proofErr w:type="spellEnd"/>
      <w:r w:rsidRPr="00EF4036">
        <w:rPr>
          <w:sz w:val="24"/>
          <w:szCs w:val="24"/>
          <w:lang w:eastAsia="pt-BR"/>
        </w:rPr>
        <w:t xml:space="preserve"> (cicatriz hipertr</w:t>
      </w:r>
      <w:r>
        <w:rPr>
          <w:sz w:val="24"/>
          <w:szCs w:val="24"/>
          <w:lang w:eastAsia="pt-BR"/>
        </w:rPr>
        <w:t>ófica-grosseira);</w:t>
      </w:r>
    </w:p>
    <w:p w14:paraId="199C15F3" w14:textId="77777777" w:rsidR="00EF4036" w:rsidRDefault="00EF4036" w:rsidP="00EF403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603242D0" w14:textId="77777777" w:rsidR="00EF4036" w:rsidRDefault="00EF4036" w:rsidP="00EF403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EF4036">
        <w:rPr>
          <w:sz w:val="24"/>
          <w:szCs w:val="24"/>
          <w:lang w:eastAsia="pt-BR"/>
        </w:rPr>
        <w:t>Seromas</w:t>
      </w:r>
      <w:proofErr w:type="spellEnd"/>
      <w:r w:rsidRPr="00EF4036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5CF7B202" w14:textId="77777777" w:rsidR="00EF4036" w:rsidRDefault="00EF4036" w:rsidP="00EF403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16E78573" w14:textId="2574E912" w:rsidR="00EF4036" w:rsidRPr="00EF4036" w:rsidRDefault="00EF4036" w:rsidP="00EF4036">
      <w:pPr>
        <w:spacing w:after="0"/>
        <w:ind w:left="-851" w:right="-285"/>
        <w:jc w:val="both"/>
      </w:pPr>
      <w:r w:rsidRPr="00EF4036">
        <w:rPr>
          <w:sz w:val="24"/>
          <w:szCs w:val="24"/>
          <w:lang w:eastAsia="pt-BR"/>
        </w:rPr>
        <w:t>Formação de áreas de necrose gordurosa.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B27DC" w14:textId="77777777" w:rsidR="00D24B42" w:rsidRDefault="00D24B42" w:rsidP="00F16D18">
      <w:pPr>
        <w:spacing w:after="0" w:line="240" w:lineRule="auto"/>
      </w:pPr>
      <w:r>
        <w:separator/>
      </w:r>
    </w:p>
  </w:endnote>
  <w:endnote w:type="continuationSeparator" w:id="0">
    <w:p w14:paraId="61C50791" w14:textId="77777777" w:rsidR="00D24B42" w:rsidRDefault="00D24B42" w:rsidP="00F1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CE6C0" w14:textId="3A8DC1A3" w:rsidR="00F16D18" w:rsidRDefault="00F16D18" w:rsidP="00F16D1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372A108" w14:textId="104B79D6" w:rsidR="00F16D18" w:rsidRDefault="00F16D18">
    <w:pPr>
      <w:pStyle w:val="Rodap"/>
    </w:pPr>
  </w:p>
  <w:p w14:paraId="7EE0C382" w14:textId="77777777" w:rsidR="00F16D18" w:rsidRDefault="00F16D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616BF" w14:textId="77777777" w:rsidR="00D24B42" w:rsidRDefault="00D24B42" w:rsidP="00F16D18">
      <w:pPr>
        <w:spacing w:after="0" w:line="240" w:lineRule="auto"/>
      </w:pPr>
      <w:r>
        <w:separator/>
      </w:r>
    </w:p>
  </w:footnote>
  <w:footnote w:type="continuationSeparator" w:id="0">
    <w:p w14:paraId="5D07CE5A" w14:textId="77777777" w:rsidR="00D24B42" w:rsidRDefault="00D24B42" w:rsidP="00F1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B8350A"/>
    <w:rsid w:val="00C92F87"/>
    <w:rsid w:val="00D24B42"/>
    <w:rsid w:val="00E957F3"/>
    <w:rsid w:val="00EF4036"/>
    <w:rsid w:val="00F1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7360B5F-B377-4235-A26D-628B82A1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03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16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2023-09-25T16:44:00Z</dcterms:created>
  <dcterms:modified xsi:type="dcterms:W3CDTF">2023-10-02T12:23:00Z</dcterms:modified>
</cp:coreProperties>
</file>