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468CB46B" w:rsidR="00B8350A" w:rsidRDefault="00136EF1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1EF24CC8" wp14:editId="50785B50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24456E7C" w:rsidR="00B8350A" w:rsidRPr="003D0FBC" w:rsidRDefault="009A4145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CORREÇÃO DE ESTRABISMO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32D237CB" w14:textId="7892B269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9A4145">
        <w:rPr>
          <w:sz w:val="24"/>
          <w:szCs w:val="24"/>
        </w:rPr>
        <w:t xml:space="preserve"> designado </w:t>
      </w:r>
      <w:r w:rsidR="009A4145">
        <w:rPr>
          <w:b/>
          <w:sz w:val="24"/>
          <w:szCs w:val="24"/>
        </w:rPr>
        <w:t>“CORREÇÃO DE ESTRABISMO”</w:t>
      </w:r>
      <w:r w:rsidR="009A4145">
        <w:rPr>
          <w:sz w:val="24"/>
          <w:szCs w:val="24"/>
        </w:rPr>
        <w:t xml:space="preserve">, </w:t>
      </w:r>
      <w:r w:rsidRPr="00C629D6">
        <w:rPr>
          <w:sz w:val="24"/>
          <w:szCs w:val="24"/>
        </w:rPr>
        <w:t xml:space="preserve">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5B328FC" w14:textId="77777777" w:rsidR="00B8350A" w:rsidRDefault="00B8350A" w:rsidP="00B8350A">
      <w:pPr>
        <w:spacing w:after="0"/>
        <w:ind w:left="-851" w:right="-285"/>
        <w:jc w:val="both"/>
      </w:pPr>
    </w:p>
    <w:p w14:paraId="5386B516" w14:textId="6ACDCC97" w:rsidR="00B8350A" w:rsidRPr="009A4145" w:rsidRDefault="00B8350A" w:rsidP="00B8350A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AE2BF5">
        <w:rPr>
          <w:b/>
          <w:bCs/>
        </w:rPr>
        <w:t>DEFINIÇÃO</w:t>
      </w:r>
      <w:r w:rsidRPr="009A4145">
        <w:rPr>
          <w:rFonts w:cstheme="minorHAnsi"/>
          <w:b/>
          <w:bCs/>
          <w:sz w:val="24"/>
          <w:szCs w:val="24"/>
        </w:rPr>
        <w:t>:</w:t>
      </w:r>
      <w:r w:rsidRPr="009A4145">
        <w:rPr>
          <w:rFonts w:cstheme="minorHAnsi"/>
          <w:sz w:val="24"/>
          <w:szCs w:val="24"/>
        </w:rPr>
        <w:t xml:space="preserve"> </w:t>
      </w:r>
      <w:r w:rsidR="009A4145" w:rsidRPr="009A4145">
        <w:rPr>
          <w:rFonts w:cstheme="minorHAnsi"/>
          <w:color w:val="000000"/>
          <w:sz w:val="24"/>
          <w:szCs w:val="24"/>
          <w:lang w:eastAsia="pt-BR"/>
        </w:rPr>
        <w:t>Estrabismo é o termo médico para designar olhos que não estão perfeitamente alinhados, ou seja, um olho fixa em uma direção e o outro em direção diferente. Cirurgia corretiva de estrabismo é o procedimento que visa o alinhamento dos olhos. É um procedimento eletivo, e que não atua sobre as causas do estrabismo. A cirurgia é realizada nos músculos oculares que são reforçados, enfraquecidos, transpostos, conforme o caso demande. Pode-se operar um ou os dois olhos no mesmo ato.</w:t>
      </w:r>
    </w:p>
    <w:p w14:paraId="787D0F76" w14:textId="77777777" w:rsidR="009A4145" w:rsidRDefault="009A4145" w:rsidP="009F4148">
      <w:pPr>
        <w:spacing w:after="0"/>
        <w:ind w:right="-285"/>
        <w:jc w:val="both"/>
        <w:rPr>
          <w:b/>
          <w:bCs/>
        </w:rPr>
      </w:pPr>
    </w:p>
    <w:p w14:paraId="7625F316" w14:textId="77777777" w:rsidR="009F4148" w:rsidRDefault="009F4148" w:rsidP="009A4145">
      <w:pPr>
        <w:spacing w:after="0"/>
        <w:ind w:left="-851" w:right="-285"/>
        <w:jc w:val="both"/>
        <w:rPr>
          <w:rFonts w:cstheme="minorHAnsi"/>
          <w:color w:val="000000"/>
          <w:lang w:eastAsia="pt-BR"/>
        </w:rPr>
      </w:pPr>
      <w:r>
        <w:rPr>
          <w:rFonts w:cstheme="minorHAnsi"/>
          <w:b/>
          <w:bCs/>
          <w:color w:val="000000"/>
          <w:lang w:eastAsia="pt-BR"/>
        </w:rPr>
        <w:t>RISCOS E COMPLICAÇÕES DO PROCEDIMENTO</w:t>
      </w:r>
      <w:r w:rsidRPr="004A1ED9">
        <w:rPr>
          <w:rFonts w:cstheme="minorHAnsi"/>
          <w:color w:val="000000"/>
          <w:lang w:eastAsia="pt-BR"/>
        </w:rPr>
        <w:t>:</w:t>
      </w:r>
    </w:p>
    <w:p w14:paraId="1D21674F" w14:textId="1BB47CD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O paciente deverá seguir os conselhos do profissional (médico) e realizar as prescrições indicadas para minimizar as possibilidades de ocorrência de complicações antes, durante ou depois da cirurgia.  As complicações depois da operação podem ocorrer dias, semanas, meses ou anos 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pós o ato cirúrgico e incluem: </w:t>
      </w:r>
    </w:p>
    <w:p w14:paraId="7F2D5AC4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Falha em s</w:t>
      </w:r>
      <w:r>
        <w:rPr>
          <w:rFonts w:cstheme="minorHAnsi"/>
          <w:color w:val="000000"/>
          <w:sz w:val="24"/>
          <w:szCs w:val="24"/>
          <w:lang w:eastAsia="pt-BR"/>
        </w:rPr>
        <w:t xml:space="preserve">e obter o sucesso operatório; </w:t>
      </w:r>
    </w:p>
    <w:p w14:paraId="60E2DA7A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Descolamento de retina que pode necessit</w:t>
      </w:r>
      <w:r>
        <w:rPr>
          <w:rFonts w:cstheme="minorHAnsi"/>
          <w:color w:val="000000"/>
          <w:sz w:val="24"/>
          <w:szCs w:val="24"/>
          <w:lang w:eastAsia="pt-BR"/>
        </w:rPr>
        <w:t xml:space="preserve">ar cirurgia ou ser inoperável; </w:t>
      </w:r>
    </w:p>
    <w:p w14:paraId="083E2374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Hemorragia vítrea; </w:t>
      </w:r>
    </w:p>
    <w:p w14:paraId="570F85D8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Infecção; </w:t>
      </w:r>
    </w:p>
    <w:p w14:paraId="3115B5A0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 xml:space="preserve">Aumento </w:t>
      </w:r>
      <w:r>
        <w:rPr>
          <w:rFonts w:cstheme="minorHAnsi"/>
          <w:color w:val="000000"/>
          <w:sz w:val="24"/>
          <w:szCs w:val="24"/>
          <w:lang w:eastAsia="pt-BR"/>
        </w:rPr>
        <w:t xml:space="preserve">da pressão do olho (glaucoma); </w:t>
      </w:r>
    </w:p>
    <w:p w14:paraId="35816A5C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proofErr w:type="spellStart"/>
      <w:r w:rsidRPr="009A4145">
        <w:rPr>
          <w:rFonts w:cstheme="minorHAnsi"/>
          <w:color w:val="000000"/>
          <w:sz w:val="24"/>
          <w:szCs w:val="24"/>
          <w:lang w:eastAsia="pt-BR"/>
        </w:rPr>
        <w:t>Embaçamento</w:t>
      </w:r>
      <w:proofErr w:type="spellEnd"/>
      <w:r w:rsidRPr="009A4145">
        <w:rPr>
          <w:rFonts w:cstheme="minorHAnsi"/>
          <w:color w:val="000000"/>
          <w:sz w:val="24"/>
          <w:szCs w:val="24"/>
          <w:lang w:eastAsia="pt-BR"/>
        </w:rPr>
        <w:t xml:space="preserve"> </w:t>
      </w:r>
      <w:proofErr w:type="spellStart"/>
      <w:r w:rsidRPr="009A4145">
        <w:rPr>
          <w:rFonts w:cstheme="minorHAnsi"/>
          <w:color w:val="000000"/>
          <w:sz w:val="24"/>
          <w:szCs w:val="24"/>
          <w:lang w:eastAsia="pt-BR"/>
        </w:rPr>
        <w:t>corne</w:t>
      </w:r>
      <w:r>
        <w:rPr>
          <w:rFonts w:cstheme="minorHAnsi"/>
          <w:color w:val="000000"/>
          <w:sz w:val="24"/>
          <w:szCs w:val="24"/>
          <w:lang w:eastAsia="pt-BR"/>
        </w:rPr>
        <w:t>ano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 xml:space="preserve"> ou cicatrização excessiva; </w:t>
      </w:r>
    </w:p>
    <w:p w14:paraId="29B5435C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Catarata que pode necessitar remoção ime</w:t>
      </w:r>
      <w:r>
        <w:rPr>
          <w:rFonts w:cstheme="minorHAnsi"/>
          <w:color w:val="000000"/>
          <w:sz w:val="24"/>
          <w:szCs w:val="24"/>
          <w:lang w:eastAsia="pt-BR"/>
        </w:rPr>
        <w:t xml:space="preserve">diata ou tardia do cristalino; </w:t>
      </w:r>
    </w:p>
    <w:p w14:paraId="29F82BBA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Visão dupla; </w:t>
      </w:r>
    </w:p>
    <w:p w14:paraId="64689EDA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 xml:space="preserve">Flacidez da pálpebra superior com posicionamento mais baixo; </w:t>
      </w:r>
    </w:p>
    <w:p w14:paraId="16A835F8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Diminuição da circulação dos tecidos vitais do olho resultando em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diminuição ou perda da visão; </w:t>
      </w:r>
    </w:p>
    <w:p w14:paraId="17BEAF25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Cegueira permanente, diminuição d</w:t>
      </w:r>
      <w:r>
        <w:rPr>
          <w:rFonts w:cstheme="minorHAnsi"/>
          <w:color w:val="000000"/>
          <w:sz w:val="24"/>
          <w:szCs w:val="24"/>
          <w:lang w:eastAsia="pt-BR"/>
        </w:rPr>
        <w:t xml:space="preserve">a visão central ou periférica; </w:t>
      </w:r>
    </w:p>
    <w:p w14:paraId="4480FA7E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 xml:space="preserve">Atrofia ocular e perda do olho. </w:t>
      </w:r>
    </w:p>
    <w:p w14:paraId="05F2DBD4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lastRenderedPageBreak/>
        <w:t>As complicações locais decorrentes da injeção de anesté</w:t>
      </w:r>
      <w:r>
        <w:rPr>
          <w:rFonts w:cstheme="minorHAnsi"/>
          <w:color w:val="000000"/>
          <w:sz w:val="24"/>
          <w:szCs w:val="24"/>
          <w:lang w:eastAsia="pt-BR"/>
        </w:rPr>
        <w:t xml:space="preserve">sico ao redor do olho incluem: </w:t>
      </w:r>
    </w:p>
    <w:p w14:paraId="5E62700B" w14:textId="72C8826C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 xml:space="preserve">Perfuração do olho; </w:t>
      </w:r>
    </w:p>
    <w:p w14:paraId="72A5C7E3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Lesão do nervo óptico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; </w:t>
      </w:r>
    </w:p>
    <w:p w14:paraId="3DBB8380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Má circulação da retina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; </w:t>
      </w:r>
    </w:p>
    <w:p w14:paraId="7ACF86C9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Possível queda da pálpebra superior</w:t>
      </w:r>
      <w:r>
        <w:rPr>
          <w:rFonts w:cstheme="minorHAnsi"/>
          <w:color w:val="000000"/>
          <w:sz w:val="24"/>
          <w:szCs w:val="24"/>
          <w:lang w:eastAsia="pt-BR"/>
        </w:rPr>
        <w:t xml:space="preserve">; </w:t>
      </w:r>
    </w:p>
    <w:p w14:paraId="7C611634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Depressão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respiratória;</w:t>
      </w:r>
    </w:p>
    <w:p w14:paraId="216B16E2" w14:textId="77777777" w:rsid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Hipotensão arterial;</w:t>
      </w:r>
    </w:p>
    <w:p w14:paraId="2DFEBD86" w14:textId="1FDE2588" w:rsidR="009A4145" w:rsidRPr="009A4145" w:rsidRDefault="009A4145" w:rsidP="009A4145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>Reaçõe</w:t>
      </w:r>
      <w:r>
        <w:rPr>
          <w:rFonts w:cstheme="minorHAnsi"/>
          <w:color w:val="000000"/>
          <w:sz w:val="24"/>
          <w:szCs w:val="24"/>
          <w:lang w:eastAsia="pt-BR"/>
        </w:rPr>
        <w:t>s alérgicas a medicações usadas.</w:t>
      </w:r>
    </w:p>
    <w:p w14:paraId="14657A35" w14:textId="77777777" w:rsidR="00B8350A" w:rsidRPr="00C629D6" w:rsidRDefault="00B8350A" w:rsidP="009F4148">
      <w:pPr>
        <w:spacing w:after="0"/>
        <w:ind w:right="-285"/>
        <w:jc w:val="both"/>
        <w:rPr>
          <w:color w:val="FF0000"/>
          <w:sz w:val="24"/>
          <w:szCs w:val="24"/>
        </w:rPr>
      </w:pPr>
    </w:p>
    <w:p w14:paraId="0FA0E6C1" w14:textId="77777777" w:rsidR="009A4145" w:rsidRDefault="00B8350A" w:rsidP="009A4145">
      <w:pPr>
        <w:spacing w:after="0"/>
        <w:ind w:left="-851" w:right="-285"/>
        <w:jc w:val="both"/>
        <w:rPr>
          <w:sz w:val="24"/>
          <w:szCs w:val="24"/>
        </w:rPr>
      </w:pPr>
      <w:r w:rsidRPr="00AE2BF5">
        <w:rPr>
          <w:b/>
          <w:bCs/>
        </w:rPr>
        <w:t>CBHPM</w:t>
      </w:r>
      <w:r w:rsidRPr="00AE2BF5">
        <w:t xml:space="preserve">: </w:t>
      </w:r>
      <w:r w:rsidR="009A4145" w:rsidRPr="009A4145">
        <w:rPr>
          <w:rFonts w:cstheme="minorHAnsi"/>
          <w:color w:val="000000"/>
          <w:sz w:val="24"/>
          <w:szCs w:val="24"/>
          <w:lang w:eastAsia="pt-BR"/>
        </w:rPr>
        <w:t>3.03.11.01-2 a 3.03.11.05.5</w:t>
      </w:r>
      <w:r w:rsidR="009A4145">
        <w:t xml:space="preserve">                      </w:t>
      </w:r>
      <w:r w:rsidRPr="00AE2BF5">
        <w:t xml:space="preserve">   </w:t>
      </w:r>
      <w:r w:rsidRPr="00AE2BF5">
        <w:rPr>
          <w:b/>
          <w:bCs/>
        </w:rPr>
        <w:t xml:space="preserve"> CID</w:t>
      </w:r>
      <w:r w:rsidRPr="00AE2BF5">
        <w:t>:</w:t>
      </w:r>
      <w:r w:rsidRPr="008B6BC3">
        <w:t xml:space="preserve"> </w:t>
      </w:r>
      <w:r w:rsidR="009A4145">
        <w:rPr>
          <w:sz w:val="24"/>
          <w:szCs w:val="24"/>
        </w:rPr>
        <w:t>H50.9</w:t>
      </w:r>
    </w:p>
    <w:p w14:paraId="52744F34" w14:textId="77777777" w:rsidR="009A4145" w:rsidRDefault="009A4145" w:rsidP="009A4145">
      <w:pPr>
        <w:spacing w:after="0"/>
        <w:ind w:left="-851" w:right="-285"/>
        <w:jc w:val="both"/>
        <w:rPr>
          <w:rFonts w:ascii="Trebuchet MS" w:hAnsi="Trebuchet MS" w:cs="Trebuchet MS"/>
          <w:color w:val="000000"/>
          <w:sz w:val="20"/>
          <w:szCs w:val="20"/>
          <w:lang w:eastAsia="pt-BR"/>
        </w:rPr>
      </w:pPr>
    </w:p>
    <w:p w14:paraId="16A1A59D" w14:textId="2AC13E00" w:rsidR="009A4145" w:rsidRPr="009A4145" w:rsidRDefault="009A4145" w:rsidP="009A4145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9A4145">
        <w:rPr>
          <w:rFonts w:cstheme="minorHAnsi"/>
          <w:color w:val="000000"/>
          <w:sz w:val="24"/>
          <w:szCs w:val="24"/>
          <w:lang w:eastAsia="pt-BR"/>
        </w:rPr>
        <w:t xml:space="preserve">Olho Direito </w:t>
      </w:r>
      <w:proofErr w:type="gramStart"/>
      <w:r w:rsidRPr="009A4145">
        <w:rPr>
          <w:rFonts w:cstheme="minorHAnsi"/>
          <w:color w:val="000000"/>
          <w:sz w:val="24"/>
          <w:szCs w:val="24"/>
          <w:lang w:eastAsia="pt-BR"/>
        </w:rPr>
        <w:t>(  )</w:t>
      </w:r>
      <w:proofErr w:type="gramEnd"/>
      <w:r w:rsidRPr="009A4145">
        <w:rPr>
          <w:rFonts w:cstheme="minorHAnsi"/>
          <w:color w:val="000000"/>
          <w:sz w:val="24"/>
          <w:szCs w:val="24"/>
          <w:lang w:eastAsia="pt-BR"/>
        </w:rPr>
        <w:t xml:space="preserve"> Olho Esquerdo (  )</w:t>
      </w:r>
    </w:p>
    <w:p w14:paraId="7A45CCFE" w14:textId="77777777" w:rsidR="00B8350A" w:rsidRDefault="00B8350A" w:rsidP="00B8350A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prevenção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perfeitamente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pelo(a)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colaterais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e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condutas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já,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julgamento.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  <w:bookmarkStart w:id="2" w:name="_GoBack"/>
      <w:bookmarkEnd w:id="2"/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32B5FB4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</w:p>
    <w:p w14:paraId="0A75E355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ou de seu representante legal após esclarecê-lo sobre o procedimento a ser realizado, salvo em</w:t>
      </w:r>
    </w:p>
    <w:p w14:paraId="679EF61D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427ADEC9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riscos e os objetivos do tratamento, salvo quando a comunicação direta possa lhe provocar dano,</w:t>
      </w:r>
    </w:p>
    <w:p w14:paraId="7EC19052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de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maneira ostensiva e adequada, a respeito da sua nocividade ou periculosidade, sem prejuízo da</w:t>
      </w:r>
    </w:p>
    <w:p w14:paraId="5F4EE2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adoção de outras medidas cabíveis em cada caso concreto. Art. 39º - É vedado ao fornecedor de</w:t>
      </w:r>
    </w:p>
    <w:p w14:paraId="7060ADC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elaboração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i/>
          <w:iCs/>
        </w:rPr>
        <w:t>práticas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13CCC2" w14:textId="77777777" w:rsidR="006530B4" w:rsidRDefault="006530B4" w:rsidP="00136EF1">
      <w:pPr>
        <w:spacing w:after="0" w:line="240" w:lineRule="auto"/>
      </w:pPr>
      <w:r>
        <w:separator/>
      </w:r>
    </w:p>
  </w:endnote>
  <w:endnote w:type="continuationSeparator" w:id="0">
    <w:p w14:paraId="7A22268D" w14:textId="77777777" w:rsidR="006530B4" w:rsidRDefault="006530B4" w:rsidP="0013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3CDF8" w14:textId="2F0CAC8A" w:rsidR="00136EF1" w:rsidRDefault="00136EF1" w:rsidP="00136EF1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462FA" w14:textId="77777777" w:rsidR="006530B4" w:rsidRDefault="006530B4" w:rsidP="00136EF1">
      <w:pPr>
        <w:spacing w:after="0" w:line="240" w:lineRule="auto"/>
      </w:pPr>
      <w:r>
        <w:separator/>
      </w:r>
    </w:p>
  </w:footnote>
  <w:footnote w:type="continuationSeparator" w:id="0">
    <w:p w14:paraId="5DBEC49C" w14:textId="77777777" w:rsidR="006530B4" w:rsidRDefault="006530B4" w:rsidP="00136E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0A"/>
    <w:rsid w:val="00136EF1"/>
    <w:rsid w:val="006530B4"/>
    <w:rsid w:val="009A4145"/>
    <w:rsid w:val="009F4148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C10E0509-B1B2-4A48-8050-8D3E755C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145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136E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975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2023-09-25T16:07:00Z</dcterms:created>
  <dcterms:modified xsi:type="dcterms:W3CDTF">2023-10-02T13:01:00Z</dcterms:modified>
</cp:coreProperties>
</file>