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6EA98D3" w:rsidR="00B8350A" w:rsidRDefault="00F5089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0F58F3A" wp14:editId="37845CD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940B887" w:rsidR="00B8350A" w:rsidRPr="003D0FBC" w:rsidRDefault="0086654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MÃO E PUNHO – SÍNDROME DO TUNEL ULNAR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96625D9" w14:textId="77777777" w:rsidR="0086654D" w:rsidRDefault="00B8350A" w:rsidP="0086654D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86654D">
        <w:rPr>
          <w:sz w:val="24"/>
          <w:szCs w:val="24"/>
        </w:rPr>
        <w:t xml:space="preserve"> designado </w:t>
      </w:r>
      <w:r w:rsidR="0086654D">
        <w:rPr>
          <w:b/>
          <w:sz w:val="24"/>
          <w:szCs w:val="24"/>
        </w:rPr>
        <w:t>“CIRURGIA DE MÃO E PUNHO – SÍNDROME DO TUNEL ULNAR”</w:t>
      </w:r>
      <w:r w:rsidR="0086654D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CD7829F" w14:textId="77777777" w:rsidR="0086654D" w:rsidRDefault="0086654D" w:rsidP="0086654D">
      <w:pPr>
        <w:spacing w:after="0"/>
        <w:ind w:left="-851" w:right="-285"/>
        <w:jc w:val="both"/>
        <w:rPr>
          <w:sz w:val="24"/>
          <w:szCs w:val="24"/>
        </w:rPr>
      </w:pPr>
    </w:p>
    <w:p w14:paraId="56AE6B4D" w14:textId="56BE5757" w:rsidR="0086654D" w:rsidRPr="0086654D" w:rsidRDefault="00B8350A" w:rsidP="0086654D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86654D" w:rsidRPr="0086654D">
        <w:rPr>
          <w:sz w:val="24"/>
          <w:szCs w:val="24"/>
        </w:rPr>
        <w:t>A cirurgia tem o objetivo de liberar o compartimento do túnel do ULNAR e realizar a descompressão do nervo ULNAR.</w:t>
      </w:r>
    </w:p>
    <w:p w14:paraId="6C7F61EC" w14:textId="77777777" w:rsidR="00B8350A" w:rsidRPr="0086654D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2C747642" w14:textId="77777777" w:rsidR="0086654D" w:rsidRDefault="005B203F" w:rsidP="0086654D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115E2CBB" w14:textId="77777777" w:rsidR="0086654D" w:rsidRDefault="0086654D" w:rsidP="0086654D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Infecção; </w:t>
      </w:r>
    </w:p>
    <w:p w14:paraId="21019626" w14:textId="77777777" w:rsidR="0086654D" w:rsidRDefault="0086654D" w:rsidP="0086654D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Necrose de pele e músculos; </w:t>
      </w:r>
    </w:p>
    <w:p w14:paraId="6A3BA0F4" w14:textId="77777777" w:rsidR="0086654D" w:rsidRDefault="0086654D" w:rsidP="0086654D">
      <w:pPr>
        <w:spacing w:after="0"/>
        <w:ind w:left="-851" w:right="-285"/>
        <w:jc w:val="both"/>
        <w:rPr>
          <w:sz w:val="24"/>
          <w:szCs w:val="24"/>
        </w:rPr>
      </w:pPr>
      <w:r w:rsidRPr="0086654D">
        <w:rPr>
          <w:sz w:val="24"/>
          <w:szCs w:val="24"/>
        </w:rPr>
        <w:t xml:space="preserve">Síndrome </w:t>
      </w:r>
      <w:proofErr w:type="spellStart"/>
      <w:r w:rsidRPr="0086654D">
        <w:rPr>
          <w:sz w:val="24"/>
          <w:szCs w:val="24"/>
        </w:rPr>
        <w:t>compartimental</w:t>
      </w:r>
      <w:proofErr w:type="spellEnd"/>
      <w:r w:rsidRPr="0086654D">
        <w:rPr>
          <w:sz w:val="24"/>
          <w:szCs w:val="24"/>
        </w:rPr>
        <w:t>: pode acontecer antes e depois de ser operado. Este problema deve ser resolvido nas primeiras 6 – 8 horas, e caracteriza-se por dor intensa, cianose (</w:t>
      </w:r>
      <w:proofErr w:type="spellStart"/>
      <w:r w:rsidRPr="0086654D">
        <w:rPr>
          <w:sz w:val="24"/>
          <w:szCs w:val="24"/>
        </w:rPr>
        <w:t>rouxidão</w:t>
      </w:r>
      <w:proofErr w:type="spellEnd"/>
      <w:r w:rsidRPr="0086654D">
        <w:rPr>
          <w:sz w:val="24"/>
          <w:szCs w:val="24"/>
        </w:rPr>
        <w:t>) dos dedos e amortecimento. O médico deve ser informado im</w:t>
      </w:r>
      <w:r>
        <w:rPr>
          <w:sz w:val="24"/>
          <w:szCs w:val="24"/>
        </w:rPr>
        <w:t xml:space="preserve">ediatamente se isso acontecer; </w:t>
      </w:r>
    </w:p>
    <w:p w14:paraId="157A1373" w14:textId="77777777" w:rsidR="0086654D" w:rsidRDefault="0086654D" w:rsidP="0086654D">
      <w:pPr>
        <w:spacing w:after="0"/>
        <w:ind w:left="-851" w:right="-285"/>
        <w:jc w:val="both"/>
        <w:rPr>
          <w:sz w:val="24"/>
          <w:szCs w:val="24"/>
        </w:rPr>
      </w:pPr>
      <w:r w:rsidRPr="0086654D">
        <w:rPr>
          <w:sz w:val="24"/>
          <w:szCs w:val="24"/>
        </w:rPr>
        <w:t>Necessidade de nova cirurg</w:t>
      </w:r>
      <w:r>
        <w:rPr>
          <w:sz w:val="24"/>
          <w:szCs w:val="24"/>
        </w:rPr>
        <w:t>ia devido a recidiva do cisto;</w:t>
      </w:r>
    </w:p>
    <w:p w14:paraId="2197B4AB" w14:textId="77777777" w:rsidR="0086654D" w:rsidRDefault="0086654D" w:rsidP="0086654D">
      <w:pPr>
        <w:spacing w:after="0"/>
        <w:ind w:left="-851" w:right="-285"/>
        <w:jc w:val="both"/>
        <w:rPr>
          <w:sz w:val="24"/>
          <w:szCs w:val="24"/>
        </w:rPr>
      </w:pPr>
      <w:r w:rsidRPr="0086654D">
        <w:rPr>
          <w:sz w:val="24"/>
          <w:szCs w:val="24"/>
        </w:rPr>
        <w:t xml:space="preserve">Possibilidade de formação de </w:t>
      </w:r>
      <w:proofErr w:type="spellStart"/>
      <w:r w:rsidRPr="0086654D">
        <w:rPr>
          <w:sz w:val="24"/>
          <w:szCs w:val="24"/>
        </w:rPr>
        <w:t>quelóides</w:t>
      </w:r>
      <w:proofErr w:type="spellEnd"/>
      <w:r w:rsidRPr="0086654D">
        <w:rPr>
          <w:sz w:val="24"/>
          <w:szCs w:val="24"/>
        </w:rPr>
        <w:t xml:space="preserve"> (cic</w:t>
      </w:r>
      <w:r>
        <w:rPr>
          <w:sz w:val="24"/>
          <w:szCs w:val="24"/>
        </w:rPr>
        <w:t>atriz hipertrófica-grosseira);</w:t>
      </w:r>
    </w:p>
    <w:p w14:paraId="45181182" w14:textId="77777777" w:rsidR="0086654D" w:rsidRDefault="0086654D" w:rsidP="0086654D">
      <w:pPr>
        <w:spacing w:after="0"/>
        <w:ind w:left="-851" w:right="-285"/>
        <w:jc w:val="both"/>
        <w:rPr>
          <w:sz w:val="24"/>
          <w:szCs w:val="24"/>
        </w:rPr>
      </w:pPr>
      <w:r w:rsidRPr="0086654D">
        <w:rPr>
          <w:sz w:val="24"/>
          <w:szCs w:val="24"/>
        </w:rPr>
        <w:t>Sangramento / hemo</w:t>
      </w:r>
      <w:r>
        <w:rPr>
          <w:sz w:val="24"/>
          <w:szCs w:val="24"/>
        </w:rPr>
        <w:t xml:space="preserve">rragias por lesões vasculares; </w:t>
      </w:r>
    </w:p>
    <w:p w14:paraId="44DA9A89" w14:textId="0BD8DD30" w:rsidR="0086654D" w:rsidRDefault="0086654D" w:rsidP="0086654D">
      <w:pPr>
        <w:spacing w:after="0"/>
        <w:ind w:left="-851" w:right="-285"/>
        <w:jc w:val="both"/>
        <w:rPr>
          <w:sz w:val="24"/>
          <w:szCs w:val="24"/>
        </w:rPr>
      </w:pPr>
      <w:r w:rsidRPr="0086654D">
        <w:rPr>
          <w:sz w:val="24"/>
          <w:szCs w:val="24"/>
        </w:rPr>
        <w:t xml:space="preserve">Distrofia simpático-reflexa ou </w:t>
      </w:r>
      <w:proofErr w:type="spellStart"/>
      <w:r w:rsidRPr="0086654D">
        <w:rPr>
          <w:sz w:val="24"/>
          <w:szCs w:val="24"/>
        </w:rPr>
        <w:t>causalgia</w:t>
      </w:r>
      <w:proofErr w:type="spellEnd"/>
      <w:r w:rsidRPr="0086654D">
        <w:rPr>
          <w:sz w:val="24"/>
          <w:szCs w:val="24"/>
        </w:rPr>
        <w:t xml:space="preserve">: quadro onde ocorrem dores intensas, alterações tróficas de pele, </w:t>
      </w:r>
      <w:proofErr w:type="spellStart"/>
      <w:r w:rsidRPr="0086654D">
        <w:rPr>
          <w:sz w:val="24"/>
          <w:szCs w:val="24"/>
        </w:rPr>
        <w:t>osteopenia</w:t>
      </w:r>
      <w:proofErr w:type="spellEnd"/>
      <w:r w:rsidRPr="0086654D">
        <w:rPr>
          <w:sz w:val="24"/>
          <w:szCs w:val="24"/>
        </w:rPr>
        <w:t xml:space="preserve"> regional, sudorese profusa e atrofia muscular e</w:t>
      </w:r>
      <w:r>
        <w:rPr>
          <w:sz w:val="24"/>
          <w:szCs w:val="24"/>
        </w:rPr>
        <w:t xml:space="preserve"> de tecido celular subcutâneo;</w:t>
      </w:r>
    </w:p>
    <w:p w14:paraId="3F8C7A8C" w14:textId="116741B4" w:rsidR="0086654D" w:rsidRPr="0086654D" w:rsidRDefault="0086654D" w:rsidP="0086654D">
      <w:pPr>
        <w:spacing w:after="0"/>
        <w:ind w:left="-851" w:right="-285"/>
        <w:jc w:val="both"/>
        <w:rPr>
          <w:sz w:val="24"/>
          <w:szCs w:val="24"/>
        </w:rPr>
      </w:pPr>
      <w:r w:rsidRPr="0086654D">
        <w:rPr>
          <w:sz w:val="24"/>
          <w:szCs w:val="24"/>
        </w:rPr>
        <w:t xml:space="preserve">Lesões nervosas devido ao </w:t>
      </w:r>
      <w:proofErr w:type="spellStart"/>
      <w:r w:rsidRPr="0086654D">
        <w:rPr>
          <w:sz w:val="24"/>
          <w:szCs w:val="24"/>
        </w:rPr>
        <w:t>garroteamento</w:t>
      </w:r>
      <w:proofErr w:type="spellEnd"/>
      <w:r w:rsidRPr="0086654D">
        <w:rPr>
          <w:sz w:val="24"/>
          <w:szCs w:val="24"/>
        </w:rPr>
        <w:t xml:space="preserve"> do membro para operações com o membro </w:t>
      </w:r>
      <w:proofErr w:type="spellStart"/>
      <w:r w:rsidRPr="0086654D">
        <w:rPr>
          <w:sz w:val="24"/>
          <w:szCs w:val="24"/>
        </w:rPr>
        <w:t>exsanguinado</w:t>
      </w:r>
      <w:proofErr w:type="spellEnd"/>
      <w:r w:rsidRPr="0086654D">
        <w:rPr>
          <w:sz w:val="24"/>
          <w:szCs w:val="24"/>
        </w:rPr>
        <w:t>. Estas lesões ocorrem eventualmente e são temporárias.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4DD9B6DD" w14:textId="77777777" w:rsidR="008F1A6C" w:rsidRDefault="008F1A6C" w:rsidP="00B8350A">
      <w:pPr>
        <w:spacing w:after="0"/>
        <w:ind w:left="-851" w:right="-285"/>
        <w:jc w:val="both"/>
      </w:pPr>
    </w:p>
    <w:p w14:paraId="34492E1A" w14:textId="77777777" w:rsidR="008F1A6C" w:rsidRDefault="008F1A6C" w:rsidP="00B8350A">
      <w:pPr>
        <w:spacing w:after="0"/>
        <w:ind w:left="-851" w:right="-285"/>
        <w:jc w:val="both"/>
      </w:pPr>
    </w:p>
    <w:p w14:paraId="767A71E9" w14:textId="77777777" w:rsidR="008F1A6C" w:rsidRDefault="008F1A6C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236D2C0D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</w:t>
      </w:r>
      <w:proofErr w:type="spellStart"/>
      <w:r w:rsidRPr="00C629D6">
        <w:rPr>
          <w:i/>
          <w:iCs/>
        </w:rPr>
        <w:t>pacienteou</w:t>
      </w:r>
      <w:proofErr w:type="spellEnd"/>
      <w:r w:rsidRPr="00C629D6">
        <w:rPr>
          <w:i/>
          <w:iCs/>
        </w:rPr>
        <w:t xml:space="preserve"> de seu representante legal após esclarecê-lo sobre o procedimento a ser realizado, salvo em</w:t>
      </w:r>
      <w:r w:rsidR="00F50895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5CEA716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F50895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91ECED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F50895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8E32E" w14:textId="77777777" w:rsidR="00CC3BFB" w:rsidRDefault="00CC3BFB" w:rsidP="00F50895">
      <w:pPr>
        <w:spacing w:after="0" w:line="240" w:lineRule="auto"/>
      </w:pPr>
      <w:r>
        <w:separator/>
      </w:r>
    </w:p>
  </w:endnote>
  <w:endnote w:type="continuationSeparator" w:id="0">
    <w:p w14:paraId="7373E816" w14:textId="77777777" w:rsidR="00CC3BFB" w:rsidRDefault="00CC3BFB" w:rsidP="00F5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BC0F5" w14:textId="637F8C08" w:rsidR="00F50895" w:rsidRDefault="00F50895" w:rsidP="00F5089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230C3" w14:textId="77777777" w:rsidR="00CC3BFB" w:rsidRDefault="00CC3BFB" w:rsidP="00F50895">
      <w:pPr>
        <w:spacing w:after="0" w:line="240" w:lineRule="auto"/>
      </w:pPr>
      <w:r>
        <w:separator/>
      </w:r>
    </w:p>
  </w:footnote>
  <w:footnote w:type="continuationSeparator" w:id="0">
    <w:p w14:paraId="7CDCACD9" w14:textId="77777777" w:rsidR="00CC3BFB" w:rsidRDefault="00CC3BFB" w:rsidP="00F5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86654D"/>
    <w:rsid w:val="008F1A6C"/>
    <w:rsid w:val="00B8350A"/>
    <w:rsid w:val="00CC3BFB"/>
    <w:rsid w:val="00E957F3"/>
    <w:rsid w:val="00F5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B27C6570-DD24-46D4-A798-00A21105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50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2023-09-08T18:15:00Z</dcterms:created>
  <dcterms:modified xsi:type="dcterms:W3CDTF">2023-10-03T12:22:00Z</dcterms:modified>
</cp:coreProperties>
</file>